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B6" w:rsidRDefault="00FF61B6" w:rsidP="00FF61B6">
      <w:pPr>
        <w:rPr>
          <w:rFonts w:hint="eastAsia"/>
        </w:rPr>
      </w:pPr>
    </w:p>
    <w:p w:rsidR="00FF61B6" w:rsidRPr="004173A2" w:rsidRDefault="00FF61B6" w:rsidP="00FF61B6">
      <w:pPr>
        <w:rPr>
          <w:rFonts w:hint="eastAsia"/>
          <w:b/>
          <w:bCs/>
          <w:sz w:val="24"/>
        </w:rPr>
      </w:pPr>
      <w:bookmarkStart w:id="0" w:name="_GoBack"/>
      <w:r>
        <w:rPr>
          <w:rFonts w:hint="eastAsia"/>
          <w:b/>
          <w:bCs/>
          <w:sz w:val="24"/>
          <w:szCs w:val="24"/>
        </w:rPr>
        <w:t>附一：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试讲考核评分标准</w:t>
      </w:r>
    </w:p>
    <w:tbl>
      <w:tblPr>
        <w:tblpPr w:leftFromText="180" w:rightFromText="180" w:vertAnchor="text" w:horzAnchor="page" w:tblpX="835" w:tblpY="220"/>
        <w:tblOverlap w:val="never"/>
        <w:tblW w:w="10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410"/>
        <w:gridCol w:w="1613"/>
        <w:gridCol w:w="6321"/>
      </w:tblGrid>
      <w:tr w:rsidR="00FF61B6" w:rsidTr="00FF61B6">
        <w:trPr>
          <w:trHeight w:val="112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  <w:vAlign w:val="center"/>
          </w:tcPr>
          <w:bookmarkEnd w:id="0"/>
          <w:p w:rsidR="00FF61B6" w:rsidRDefault="00FF61B6" w:rsidP="00FF61B6">
            <w:pPr>
              <w:pStyle w:val="TableParagraph"/>
              <w:spacing w:before="1" w:line="278" w:lineRule="auto"/>
              <w:ind w:left="129" w:right="119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  <w:vAlign w:val="center"/>
          </w:tcPr>
          <w:p w:rsidR="00FF61B6" w:rsidRDefault="00FF61B6" w:rsidP="00FF61B6">
            <w:pPr>
              <w:pStyle w:val="TableParagraph"/>
              <w:spacing w:before="207" w:line="184" w:lineRule="auto"/>
              <w:ind w:left="293" w:right="28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w w:val="95"/>
                <w:sz w:val="24"/>
              </w:rPr>
              <w:t>一级指标</w:t>
            </w:r>
          </w:p>
          <w:p w:rsidR="00FF61B6" w:rsidRDefault="00FF61B6" w:rsidP="00FF61B6">
            <w:pPr>
              <w:pStyle w:val="TableParagraph"/>
              <w:spacing w:line="255" w:lineRule="exact"/>
              <w:ind w:left="108" w:right="-15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spacing w:val="-2"/>
                <w:sz w:val="24"/>
              </w:rPr>
              <w:t>权重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  <w:vAlign w:val="center"/>
          </w:tcPr>
          <w:p w:rsidR="00FF61B6" w:rsidRDefault="00FF61B6" w:rsidP="00FF61B6">
            <w:pPr>
              <w:pStyle w:val="TableParagraph"/>
              <w:spacing w:before="1" w:line="274" w:lineRule="exact"/>
              <w:ind w:left="49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w w:val="95"/>
                <w:sz w:val="24"/>
              </w:rPr>
              <w:t>二级指标</w:t>
            </w:r>
          </w:p>
          <w:p w:rsidR="00FF61B6" w:rsidRDefault="00FF61B6" w:rsidP="00FF61B6">
            <w:pPr>
              <w:pStyle w:val="TableParagraph"/>
              <w:spacing w:line="274" w:lineRule="exact"/>
              <w:ind w:left="49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w w:val="95"/>
                <w:sz w:val="24"/>
              </w:rPr>
              <w:t>（权重）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  <w:vAlign w:val="center"/>
          </w:tcPr>
          <w:p w:rsidR="00FF61B6" w:rsidRDefault="00FF61B6" w:rsidP="00FF61B6">
            <w:pPr>
              <w:pStyle w:val="TableParagraph"/>
              <w:spacing w:before="154"/>
              <w:ind w:left="2661" w:right="265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评价标准</w:t>
            </w:r>
          </w:p>
        </w:tc>
      </w:tr>
      <w:tr w:rsidR="00FF61B6" w:rsidTr="00FF61B6">
        <w:trPr>
          <w:trHeight w:val="694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pStyle w:val="TableParagraph"/>
              <w:spacing w:before="1"/>
              <w:ind w:left="8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1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pStyle w:val="TableParagraph"/>
              <w:spacing w:line="184" w:lineRule="auto"/>
              <w:ind w:right="222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教学准备(30%)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pStyle w:val="TableParagraph"/>
              <w:spacing w:line="274" w:lineRule="exact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教学设计</w:t>
            </w:r>
          </w:p>
          <w:p w:rsidR="00FF61B6" w:rsidRDefault="00FF61B6" w:rsidP="00FF61B6">
            <w:pPr>
              <w:pStyle w:val="TableParagraph"/>
              <w:spacing w:line="274" w:lineRule="exact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（10%）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pStyle w:val="TableParagraph"/>
              <w:spacing w:line="184" w:lineRule="auto"/>
              <w:ind w:right="96"/>
              <w:jc w:val="both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围绕教学目标进行合理设计，教学理念先进，备课认真， 课前准备充分，教材选用得当。</w:t>
            </w:r>
          </w:p>
        </w:tc>
      </w:tr>
      <w:tr w:rsidR="00FF61B6" w:rsidTr="00FF61B6">
        <w:trPr>
          <w:trHeight w:val="704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pStyle w:val="TableParagraph"/>
              <w:spacing w:line="184" w:lineRule="auto"/>
              <w:ind w:left="107" w:right="96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仪态仪表</w:t>
            </w:r>
          </w:p>
          <w:p w:rsidR="00FF61B6" w:rsidRDefault="00FF61B6" w:rsidP="00FF61B6">
            <w:pPr>
              <w:pStyle w:val="TableParagraph"/>
              <w:spacing w:line="184" w:lineRule="auto"/>
              <w:ind w:left="107" w:right="96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（5%）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pStyle w:val="TableParagraph"/>
              <w:spacing w:line="184" w:lineRule="auto"/>
              <w:ind w:right="96"/>
              <w:jc w:val="both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为人师表，精神饱满，仪表端庄，注重课堂礼仪。</w:t>
            </w:r>
          </w:p>
        </w:tc>
      </w:tr>
      <w:tr w:rsidR="00FF61B6" w:rsidTr="00FF61B6">
        <w:trPr>
          <w:trHeight w:val="1125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jc w:val="center"/>
              <w:rPr>
                <w:rFonts w:ascii="仿宋_GB2312" w:eastAsia="仿宋_GB2312" w:hAnsi="微软雅黑" w:cs="微软雅黑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资源建设</w:t>
            </w:r>
          </w:p>
          <w:p w:rsidR="00FF61B6" w:rsidRDefault="00FF61B6" w:rsidP="00FF61B6">
            <w:pPr>
              <w:jc w:val="center"/>
              <w:rPr>
                <w:rFonts w:ascii="仿宋_GB2312" w:eastAsia="仿宋_GB2312" w:hAnsi="微软雅黑" w:cs="微软雅黑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（15%）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有效利用线上教学平台，建设课程平台，推送的教学资源（含教学大纲、PPT、讲义、音频视频、课前导学、课堂练习、习题及课后作业等）丰富适度、质量高，且与教学目标联系紧密。</w:t>
            </w:r>
          </w:p>
        </w:tc>
      </w:tr>
      <w:tr w:rsidR="00FF61B6" w:rsidTr="00FF61B6">
        <w:trPr>
          <w:trHeight w:val="100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pStyle w:val="TableParagraph"/>
              <w:spacing w:before="163"/>
              <w:ind w:left="8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2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pStyle w:val="TableParagraph"/>
              <w:spacing w:before="1" w:line="184" w:lineRule="auto"/>
              <w:ind w:right="282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教学实施</w:t>
            </w:r>
          </w:p>
          <w:p w:rsidR="00FF61B6" w:rsidRDefault="00FF61B6" w:rsidP="00FF61B6">
            <w:pPr>
              <w:pStyle w:val="TableParagraph"/>
              <w:spacing w:line="255" w:lineRule="exact"/>
              <w:ind w:left="91" w:right="83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（30%）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pStyle w:val="TableParagraph"/>
              <w:spacing w:line="274" w:lineRule="exact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课程内容</w:t>
            </w:r>
          </w:p>
          <w:p w:rsidR="00FF61B6" w:rsidRDefault="00FF61B6" w:rsidP="00FF61B6">
            <w:pPr>
              <w:pStyle w:val="TableParagraph"/>
              <w:spacing w:line="274" w:lineRule="exact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（10%）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pStyle w:val="TableParagraph"/>
              <w:spacing w:line="184" w:lineRule="auto"/>
              <w:ind w:right="96"/>
              <w:jc w:val="both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教学内容充实，科学性、学术性强，能满足教学大纲和教学目标要求；注重教学内容的更新，体现学科发展的新思想、新成果。</w:t>
            </w:r>
          </w:p>
        </w:tc>
      </w:tr>
      <w:tr w:rsidR="00FF61B6" w:rsidTr="00FF61B6">
        <w:trPr>
          <w:trHeight w:val="1128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jc w:val="center"/>
              <w:rPr>
                <w:rFonts w:ascii="仿宋_GB2312" w:eastAsia="仿宋_GB2312" w:hAnsi="微软雅黑" w:cs="微软雅黑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课堂管理</w:t>
            </w:r>
          </w:p>
          <w:p w:rsidR="00FF61B6" w:rsidRDefault="00FF61B6" w:rsidP="00FF61B6">
            <w:pPr>
              <w:jc w:val="center"/>
              <w:rPr>
                <w:rFonts w:ascii="仿宋_GB2312" w:eastAsia="仿宋_GB2312" w:hAnsi="微软雅黑" w:cs="微软雅黑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（10%）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能有效地驾驭课堂，管理有序、气氛活跃，学生出勤率、抬头率、前排率高。师生间开展有效地互动交流，教师的设问具有启发性，学生参与互动积极性高。</w:t>
            </w:r>
          </w:p>
        </w:tc>
      </w:tr>
      <w:tr w:rsidR="00FF61B6" w:rsidTr="00FF61B6">
        <w:trPr>
          <w:trHeight w:val="691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jc w:val="center"/>
              <w:rPr>
                <w:rFonts w:ascii="仿宋_GB2312" w:eastAsia="仿宋_GB2312" w:hAnsi="微软雅黑" w:cs="微软雅黑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过程管理</w:t>
            </w:r>
          </w:p>
          <w:p w:rsidR="00FF61B6" w:rsidRDefault="00FF61B6" w:rsidP="00FF61B6">
            <w:pPr>
              <w:rPr>
                <w:rFonts w:ascii="仿宋_GB2312" w:eastAsia="仿宋_GB2312" w:hAnsi="微软雅黑" w:cs="微软雅黑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（10%）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rPr>
                <w:rFonts w:ascii="仿宋_GB2312" w:eastAsia="仿宋_GB2312" w:hAnsi="微软雅黑" w:cs="微软雅黑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能以学生学习成果为导向开展形成性评价，运用技术工具或其他方式布置适量作业、测验等，并及时批阅和讲评。</w:t>
            </w:r>
          </w:p>
        </w:tc>
      </w:tr>
      <w:tr w:rsidR="00FF61B6" w:rsidTr="00FF61B6">
        <w:trPr>
          <w:trHeight w:val="128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pStyle w:val="TableParagraph"/>
              <w:spacing w:before="144"/>
              <w:ind w:left="8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3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pStyle w:val="TableParagraph"/>
              <w:spacing w:line="184" w:lineRule="auto"/>
              <w:ind w:right="282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教学效果</w:t>
            </w:r>
          </w:p>
          <w:p w:rsidR="00FF61B6" w:rsidRDefault="00FF61B6" w:rsidP="00FF61B6">
            <w:pPr>
              <w:pStyle w:val="TableParagraph"/>
              <w:spacing w:line="255" w:lineRule="exact"/>
              <w:ind w:left="91" w:right="83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（20%）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pStyle w:val="TableParagraph"/>
              <w:spacing w:line="274" w:lineRule="exact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能力培养</w:t>
            </w:r>
          </w:p>
          <w:p w:rsidR="00FF61B6" w:rsidRDefault="00FF61B6" w:rsidP="00FF61B6">
            <w:pPr>
              <w:pStyle w:val="TableParagraph"/>
              <w:spacing w:line="274" w:lineRule="exact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（10%）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pStyle w:val="TableParagraph"/>
              <w:spacing w:before="214" w:line="184" w:lineRule="auto"/>
              <w:ind w:right="96"/>
              <w:jc w:val="both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能体现“学生中心”的先进理念，重视学生的认知水平等个体差异，因材施教；</w:t>
            </w:r>
            <w:r>
              <w:rPr>
                <w:rFonts w:ascii="仿宋_GB2312" w:eastAsia="仿宋_GB2312" w:hAnsi="微软雅黑" w:cs="微软雅黑" w:hint="eastAsia"/>
                <w:b/>
                <w:bCs/>
                <w:color w:val="000000"/>
                <w:kern w:val="2"/>
                <w:sz w:val="24"/>
                <w:lang w:eastAsia="zh-CN"/>
              </w:rPr>
              <w:t>理论联系实际，以问题为导向，培养学生自主学习能力</w:t>
            </w: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，学生满意度高。</w:t>
            </w:r>
          </w:p>
        </w:tc>
      </w:tr>
      <w:tr w:rsidR="00FF61B6" w:rsidTr="00FF61B6">
        <w:trPr>
          <w:trHeight w:val="1347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jc w:val="center"/>
              <w:rPr>
                <w:rFonts w:ascii="仿宋_GB2312" w:eastAsia="仿宋_GB2312" w:hAnsi="微软雅黑" w:cs="微软雅黑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持续改进</w:t>
            </w:r>
          </w:p>
          <w:p w:rsidR="00FF61B6" w:rsidRDefault="00FF61B6" w:rsidP="00FF61B6">
            <w:pPr>
              <w:jc w:val="center"/>
              <w:rPr>
                <w:rFonts w:ascii="仿宋_GB2312" w:eastAsia="仿宋_GB2312" w:hAnsi="微软雅黑" w:cs="微软雅黑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（10%）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rPr>
                <w:rFonts w:ascii="宋体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及时</w:t>
            </w:r>
            <w:r>
              <w:rPr>
                <w:rFonts w:ascii="仿宋_GB2312" w:eastAsia="仿宋_GB2312" w:hAnsi="微软雅黑" w:cs="微软雅黑" w:hint="eastAsia"/>
                <w:b/>
                <w:bCs/>
                <w:color w:val="000000"/>
                <w:sz w:val="24"/>
                <w:szCs w:val="24"/>
              </w:rPr>
              <w:t>反思教学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中存在的不足，及时改进教学、提升教学水平和质量；能够有适当的课后作业与拓展资料，允许学生课后复习、预习或延展学习内容。</w:t>
            </w:r>
          </w:p>
        </w:tc>
      </w:tr>
      <w:tr w:rsidR="00FF61B6" w:rsidTr="00FF61B6">
        <w:trPr>
          <w:trHeight w:val="974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pStyle w:val="TableParagraph"/>
              <w:ind w:left="8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4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pStyle w:val="TableParagraph"/>
              <w:spacing w:line="184" w:lineRule="auto"/>
              <w:ind w:right="282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教学水平</w:t>
            </w:r>
          </w:p>
          <w:p w:rsidR="00FF61B6" w:rsidRDefault="00FF61B6" w:rsidP="00FF61B6">
            <w:pPr>
              <w:pStyle w:val="TableParagraph"/>
              <w:spacing w:line="255" w:lineRule="exact"/>
              <w:ind w:left="91" w:right="83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（20%）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pStyle w:val="TableParagraph"/>
              <w:spacing w:line="274" w:lineRule="exact"/>
              <w:ind w:left="117" w:right="108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教学方法与手段</w:t>
            </w:r>
          </w:p>
          <w:p w:rsidR="00FF61B6" w:rsidRDefault="00FF61B6" w:rsidP="00FF61B6">
            <w:pPr>
              <w:pStyle w:val="TableParagraph"/>
              <w:spacing w:line="274" w:lineRule="exact"/>
              <w:ind w:left="117" w:right="108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（10%）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pStyle w:val="TableParagraph"/>
              <w:spacing w:before="213" w:line="184" w:lineRule="auto"/>
              <w:ind w:right="-29"/>
              <w:jc w:val="both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理论阐述准确，概念交代清楚，教学内容充实，详略得当， 板书与课件相结合，逻辑性强，条理分明，重点、难点突出。</w:t>
            </w:r>
          </w:p>
        </w:tc>
      </w:tr>
      <w:tr w:rsidR="00FF61B6" w:rsidTr="00FF61B6">
        <w:trPr>
          <w:trHeight w:val="811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widowControl/>
              <w:rPr>
                <w:rFonts w:ascii="仿宋_GB2312" w:eastAsia="仿宋_GB2312" w:hAnsi="微软雅黑" w:cs="微软雅黑"/>
                <w:color w:val="000000"/>
                <w:sz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pStyle w:val="TableParagraph"/>
              <w:spacing w:line="274" w:lineRule="exact"/>
              <w:ind w:left="117" w:right="108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教书育人</w:t>
            </w:r>
          </w:p>
          <w:p w:rsidR="00FF61B6" w:rsidRDefault="00FF61B6" w:rsidP="00FF61B6">
            <w:pPr>
              <w:pStyle w:val="TableParagraph"/>
              <w:spacing w:line="274" w:lineRule="exact"/>
              <w:ind w:left="117" w:right="108"/>
              <w:jc w:val="center"/>
              <w:rPr>
                <w:rFonts w:ascii="仿宋_GB2312" w:eastAsia="仿宋_GB2312" w:hAnsi="微软雅黑" w:cs="微软雅黑"/>
                <w:color w:val="000000"/>
                <w:kern w:val="2"/>
                <w:sz w:val="24"/>
                <w:lang w:eastAsia="zh-CN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2"/>
                <w:sz w:val="24"/>
                <w:lang w:eastAsia="zh-CN"/>
              </w:rPr>
              <w:t>（10%）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B6" w:rsidRDefault="00FF61B6" w:rsidP="00FF61B6">
            <w:pPr>
              <w:rPr>
                <w:rFonts w:ascii="仿宋_GB2312" w:eastAsia="仿宋_GB2312" w:hAnsi="微软雅黑" w:cs="微软雅黑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能体现</w:t>
            </w:r>
            <w:r>
              <w:rPr>
                <w:rFonts w:ascii="仿宋_GB2312" w:eastAsia="仿宋_GB2312" w:hAnsi="微软雅黑" w:cs="微软雅黑" w:hint="eastAsia"/>
                <w:b/>
                <w:bCs/>
                <w:color w:val="000000"/>
                <w:sz w:val="24"/>
                <w:szCs w:val="24"/>
              </w:rPr>
              <w:t>课程思政元素</w:t>
            </w:r>
            <w:r>
              <w:rPr>
                <w:rFonts w:ascii="仿宋_GB2312" w:eastAsia="仿宋_GB2312" w:hAnsi="微软雅黑" w:cs="微软雅黑" w:hint="eastAsia"/>
                <w:color w:val="000000"/>
                <w:sz w:val="24"/>
                <w:szCs w:val="24"/>
              </w:rPr>
              <w:t>，适当引用案例进行课堂教学。</w:t>
            </w:r>
          </w:p>
        </w:tc>
      </w:tr>
    </w:tbl>
    <w:p w:rsidR="00FF61B6" w:rsidRDefault="00FF61B6" w:rsidP="00FF61B6">
      <w:pPr>
        <w:rPr>
          <w:rFonts w:ascii="仿宋_GB2312" w:eastAsia="仿宋_GB2312" w:hAnsi="微软雅黑" w:cs="微软雅黑"/>
          <w:color w:val="000000"/>
          <w:sz w:val="32"/>
          <w:szCs w:val="32"/>
        </w:rPr>
      </w:pPr>
    </w:p>
    <w:p w:rsidR="00FF61B6" w:rsidRDefault="00FF61B6" w:rsidP="00FF61B6">
      <w:pPr>
        <w:rPr>
          <w:rFonts w:ascii="仿宋_GB2312" w:eastAsia="仿宋_GB2312" w:hAnsi="微软雅黑" w:cs="微软雅黑"/>
          <w:color w:val="000000"/>
          <w:sz w:val="32"/>
          <w:szCs w:val="32"/>
        </w:rPr>
      </w:pPr>
    </w:p>
    <w:p w:rsidR="00FF61B6" w:rsidRDefault="00FF61B6" w:rsidP="00FF61B6">
      <w:pPr>
        <w:rPr>
          <w:rFonts w:ascii="仿宋_GB2312" w:eastAsia="仿宋_GB2312" w:hAnsi="微软雅黑" w:cs="微软雅黑" w:hint="eastAsia"/>
          <w:color w:val="000000"/>
          <w:sz w:val="32"/>
          <w:szCs w:val="32"/>
        </w:rPr>
      </w:pPr>
    </w:p>
    <w:p w:rsidR="00FF61B6" w:rsidRDefault="00FF61B6" w:rsidP="00FF61B6">
      <w:pPr>
        <w:rPr>
          <w:b/>
          <w:bCs/>
          <w:sz w:val="24"/>
          <w:szCs w:val="24"/>
        </w:rPr>
      </w:pPr>
    </w:p>
    <w:p w:rsidR="00FF61B6" w:rsidRDefault="00FF61B6" w:rsidP="00FF61B6">
      <w:pPr>
        <w:rPr>
          <w:b/>
          <w:bCs/>
          <w:sz w:val="24"/>
        </w:rPr>
      </w:pPr>
      <w:r>
        <w:rPr>
          <w:rFonts w:hint="eastAsia"/>
          <w:b/>
          <w:bCs/>
          <w:sz w:val="24"/>
          <w:szCs w:val="24"/>
        </w:rPr>
        <w:t>附二：关于教学一票否决的事项</w:t>
      </w:r>
    </w:p>
    <w:tbl>
      <w:tblPr>
        <w:tblStyle w:val="a5"/>
        <w:tblW w:w="8639" w:type="dxa"/>
        <w:tblInd w:w="-5" w:type="dxa"/>
        <w:tblLook w:val="04A0" w:firstRow="1" w:lastRow="0" w:firstColumn="1" w:lastColumn="0" w:noHBand="0" w:noVBand="1"/>
      </w:tblPr>
      <w:tblGrid>
        <w:gridCol w:w="1005"/>
        <w:gridCol w:w="7634"/>
      </w:tblGrid>
      <w:tr w:rsidR="00FF61B6" w:rsidTr="00FF61B6">
        <w:trPr>
          <w:trHeight w:val="594"/>
        </w:trPr>
        <w:tc>
          <w:tcPr>
            <w:tcW w:w="1005" w:type="dxa"/>
            <w:shd w:val="clear" w:color="auto" w:fill="A8D08D" w:themeFill="accent6" w:themeFillTint="99"/>
            <w:vAlign w:val="center"/>
          </w:tcPr>
          <w:p w:rsidR="00FF61B6" w:rsidRPr="00FF61B6" w:rsidRDefault="00FF61B6" w:rsidP="00B3053E">
            <w:pPr>
              <w:pStyle w:val="TableParagraph"/>
              <w:spacing w:before="1" w:line="278" w:lineRule="auto"/>
              <w:ind w:left="129" w:right="119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7634" w:type="dxa"/>
            <w:shd w:val="clear" w:color="auto" w:fill="A8D08D" w:themeFill="accent6" w:themeFillTint="99"/>
            <w:vAlign w:val="center"/>
          </w:tcPr>
          <w:p w:rsidR="00FF61B6" w:rsidRPr="00FF61B6" w:rsidRDefault="00FF61B6" w:rsidP="00B3053E">
            <w:pPr>
              <w:pStyle w:val="TableParagraph"/>
              <w:spacing w:before="154"/>
              <w:ind w:left="2661" w:right="265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否决事项</w:t>
            </w:r>
          </w:p>
        </w:tc>
      </w:tr>
      <w:tr w:rsidR="00FF61B6" w:rsidTr="00FF61B6">
        <w:trPr>
          <w:trHeight w:val="460"/>
        </w:trPr>
        <w:tc>
          <w:tcPr>
            <w:tcW w:w="1005" w:type="dxa"/>
            <w:vAlign w:val="center"/>
          </w:tcPr>
          <w:p w:rsidR="00FF61B6" w:rsidRDefault="00FF61B6" w:rsidP="00B3053E">
            <w:pPr>
              <w:pStyle w:val="TableParagraph"/>
              <w:spacing w:before="1" w:line="278" w:lineRule="auto"/>
              <w:ind w:left="129" w:right="119"/>
              <w:jc w:val="center"/>
              <w:rPr>
                <w:b/>
                <w:bCs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  <w:lang w:eastAsia="zh-CN"/>
              </w:rPr>
              <w:t xml:space="preserve">1 </w:t>
            </w:r>
          </w:p>
        </w:tc>
        <w:tc>
          <w:tcPr>
            <w:tcW w:w="7634" w:type="dxa"/>
            <w:vAlign w:val="center"/>
          </w:tcPr>
          <w:p w:rsidR="00FF61B6" w:rsidRDefault="00FF61B6" w:rsidP="00B3053E">
            <w:pPr>
              <w:rPr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教学过程中有违背师风师德“八不准”的言行举止。</w:t>
            </w:r>
          </w:p>
        </w:tc>
      </w:tr>
      <w:tr w:rsidR="00FF61B6" w:rsidTr="00FF61B6">
        <w:trPr>
          <w:trHeight w:val="1189"/>
        </w:trPr>
        <w:tc>
          <w:tcPr>
            <w:tcW w:w="1005" w:type="dxa"/>
            <w:vAlign w:val="center"/>
          </w:tcPr>
          <w:p w:rsidR="00FF61B6" w:rsidRDefault="00FF61B6" w:rsidP="00B3053E">
            <w:pPr>
              <w:pStyle w:val="TableParagraph"/>
              <w:spacing w:before="1" w:line="278" w:lineRule="auto"/>
              <w:ind w:left="129" w:right="119"/>
              <w:jc w:val="center"/>
              <w:rPr>
                <w:b/>
                <w:bCs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634" w:type="dxa"/>
            <w:vAlign w:val="center"/>
          </w:tcPr>
          <w:p w:rsidR="00FF61B6" w:rsidRDefault="00FF61B6" w:rsidP="00B3053E">
            <w:pPr>
              <w:rPr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</w:rPr>
              <w:t>对授课内容不熟悉。专业知识出现大量错误、</w:t>
            </w:r>
            <w:r>
              <w:rPr>
                <w:rFonts w:ascii="仿宋_GB2312" w:eastAsia="仿宋_GB2312" w:hAnsi="微软雅黑" w:cs="微软雅黑" w:hint="eastAsia"/>
                <w:b/>
                <w:color w:val="000000"/>
                <w:sz w:val="21"/>
                <w:szCs w:val="21"/>
              </w:rPr>
              <w:t>不懂教学法、无法使用新媒体技术丰富教学内容。重点不突出、内容混乱；使用他人教学材料不做修订；教学状态差、无法体现教师风貌。</w:t>
            </w:r>
          </w:p>
        </w:tc>
      </w:tr>
      <w:tr w:rsidR="00FF61B6" w:rsidTr="00FF61B6">
        <w:trPr>
          <w:trHeight w:val="786"/>
        </w:trPr>
        <w:tc>
          <w:tcPr>
            <w:tcW w:w="1005" w:type="dxa"/>
            <w:vAlign w:val="center"/>
          </w:tcPr>
          <w:p w:rsidR="00FF61B6" w:rsidRDefault="00FF61B6" w:rsidP="00B3053E">
            <w:pPr>
              <w:pStyle w:val="TableParagraph"/>
              <w:spacing w:before="1" w:line="278" w:lineRule="auto"/>
              <w:ind w:left="129" w:right="119"/>
              <w:jc w:val="center"/>
              <w:rPr>
                <w:b/>
                <w:bCs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634" w:type="dxa"/>
            <w:vAlign w:val="center"/>
          </w:tcPr>
          <w:p w:rsidR="00FF61B6" w:rsidRDefault="00FF61B6" w:rsidP="00B3053E">
            <w:pPr>
              <w:rPr>
                <w:b/>
                <w:bCs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color w:val="000000"/>
                <w:sz w:val="21"/>
                <w:szCs w:val="21"/>
              </w:rPr>
              <w:t>典型的灌输式教学（一言堂），不调动学生，不关注学生的课堂反馈。缺少互动，背内容而不是讲述内容，对内容理解不透。</w:t>
            </w:r>
          </w:p>
        </w:tc>
      </w:tr>
      <w:tr w:rsidR="00FF61B6" w:rsidTr="00FF61B6">
        <w:trPr>
          <w:trHeight w:val="786"/>
        </w:trPr>
        <w:tc>
          <w:tcPr>
            <w:tcW w:w="1005" w:type="dxa"/>
            <w:vAlign w:val="center"/>
          </w:tcPr>
          <w:p w:rsidR="00FF61B6" w:rsidRDefault="00FF61B6" w:rsidP="00B3053E">
            <w:pPr>
              <w:pStyle w:val="TableParagraph"/>
              <w:spacing w:before="1" w:line="278" w:lineRule="auto"/>
              <w:ind w:left="129" w:right="119"/>
              <w:jc w:val="center"/>
              <w:rPr>
                <w:b/>
                <w:bCs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b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634" w:type="dxa"/>
            <w:vAlign w:val="center"/>
          </w:tcPr>
          <w:p w:rsidR="00FF61B6" w:rsidRDefault="00FF61B6" w:rsidP="00B3053E">
            <w:pPr>
              <w:rPr>
                <w:b/>
                <w:bCs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b/>
                <w:color w:val="000000"/>
                <w:sz w:val="21"/>
                <w:szCs w:val="21"/>
              </w:rPr>
              <w:t>内容陈旧，PPT编制层次混乱不清，缺乏观赏性；没有认真设计，像教材搬家文字居多，多媒体功能利用很少等。</w:t>
            </w:r>
          </w:p>
        </w:tc>
      </w:tr>
    </w:tbl>
    <w:p w:rsidR="00FF61B6" w:rsidRDefault="00FF61B6" w:rsidP="00FF61B6">
      <w:pPr>
        <w:rPr>
          <w:b/>
          <w:bCs/>
          <w:sz w:val="24"/>
        </w:rPr>
      </w:pPr>
    </w:p>
    <w:p w:rsidR="00FF61B6" w:rsidRDefault="00FF61B6" w:rsidP="00FF61B6">
      <w:pPr>
        <w:rPr>
          <w:rFonts w:ascii="仿宋_GB2312" w:eastAsia="仿宋_GB2312" w:hAnsi="微软雅黑" w:cs="微软雅黑"/>
          <w:color w:val="000000"/>
          <w:sz w:val="32"/>
          <w:szCs w:val="32"/>
        </w:rPr>
      </w:pPr>
    </w:p>
    <w:p w:rsidR="00FF61B6" w:rsidRDefault="00FF61B6" w:rsidP="00FF61B6">
      <w:pPr>
        <w:rPr>
          <w:rFonts w:ascii="仿宋_GB2312" w:eastAsia="仿宋_GB2312" w:hAnsi="微软雅黑" w:cs="微软雅黑"/>
          <w:color w:val="000000"/>
          <w:sz w:val="32"/>
          <w:szCs w:val="32"/>
        </w:rPr>
      </w:pPr>
    </w:p>
    <w:p w:rsidR="00FF61B6" w:rsidRDefault="00FF61B6" w:rsidP="00FF61B6"/>
    <w:p w:rsidR="00FF61B6" w:rsidRPr="00FF61B6" w:rsidRDefault="00FF61B6">
      <w:pPr>
        <w:rPr>
          <w:rFonts w:hint="eastAsia"/>
        </w:rPr>
      </w:pPr>
    </w:p>
    <w:sectPr w:rsidR="00FF61B6" w:rsidRPr="00FF6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D16" w:rsidRDefault="00F05D16" w:rsidP="00FF61B6">
      <w:r>
        <w:separator/>
      </w:r>
    </w:p>
  </w:endnote>
  <w:endnote w:type="continuationSeparator" w:id="0">
    <w:p w:rsidR="00F05D16" w:rsidRDefault="00F05D16" w:rsidP="00FF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D16" w:rsidRDefault="00F05D16" w:rsidP="00FF61B6">
      <w:r>
        <w:separator/>
      </w:r>
    </w:p>
  </w:footnote>
  <w:footnote w:type="continuationSeparator" w:id="0">
    <w:p w:rsidR="00F05D16" w:rsidRDefault="00F05D16" w:rsidP="00FF6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32"/>
    <w:rsid w:val="00500232"/>
    <w:rsid w:val="00F024C0"/>
    <w:rsid w:val="00F05D1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AC18AE-6EFD-4AC5-B576-F4D4F331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1B6"/>
    <w:rPr>
      <w:sz w:val="18"/>
      <w:szCs w:val="18"/>
    </w:rPr>
  </w:style>
  <w:style w:type="table" w:styleId="a5">
    <w:name w:val="Table Grid"/>
    <w:basedOn w:val="a1"/>
    <w:rsid w:val="00FF61B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F61B6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蒋苏bb</dc:creator>
  <cp:keywords/>
  <dc:description/>
  <cp:lastModifiedBy>蒋苏bb</cp:lastModifiedBy>
  <cp:revision>2</cp:revision>
  <dcterms:created xsi:type="dcterms:W3CDTF">2023-08-28T04:33:00Z</dcterms:created>
  <dcterms:modified xsi:type="dcterms:W3CDTF">2023-08-28T04:33:00Z</dcterms:modified>
</cp:coreProperties>
</file>